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76AE" w:rsidRDefault="00E01060">
      <w:pPr>
        <w:pStyle w:val="1"/>
        <w:rPr>
          <w:rFonts w:cs="Times New Roman"/>
          <w:b/>
          <w:szCs w:val="36"/>
        </w:rPr>
      </w:pPr>
      <w:bookmarkStart w:id="0" w:name="_Toc123493563"/>
      <w:bookmarkStart w:id="1" w:name="_Toc67641665"/>
      <w:r>
        <w:rPr>
          <w:rFonts w:cs="Times New Roman"/>
          <w:szCs w:val="36"/>
        </w:rPr>
        <w:t>沈阳农业大学</w:t>
      </w:r>
      <w:r>
        <w:rPr>
          <w:rFonts w:cs="Times New Roman"/>
          <w:szCs w:val="36"/>
        </w:rPr>
        <w:t>2023</w:t>
      </w:r>
      <w:r>
        <w:rPr>
          <w:rFonts w:cs="Times New Roman"/>
          <w:szCs w:val="36"/>
        </w:rPr>
        <w:t>年高水平运动队排球项目</w:t>
      </w:r>
      <w:r>
        <w:rPr>
          <w:rFonts w:cs="Times New Roman"/>
          <w:szCs w:val="36"/>
        </w:rPr>
        <w:br/>
      </w:r>
      <w:r>
        <w:rPr>
          <w:rFonts w:cs="Times New Roman"/>
          <w:szCs w:val="36"/>
        </w:rPr>
        <w:t>考试方法与评分标准</w:t>
      </w:r>
      <w:bookmarkEnd w:id="0"/>
      <w:bookmarkEnd w:id="1"/>
    </w:p>
    <w:p w:rsidR="007A76AE" w:rsidRDefault="00E01060">
      <w:pPr>
        <w:pStyle w:val="2"/>
        <w:rPr>
          <w:rStyle w:val="NormalCharacter"/>
          <w:rFonts w:cs="Times New Roman"/>
        </w:rPr>
      </w:pPr>
      <w:bookmarkStart w:id="2" w:name="_Toc123493564"/>
      <w:r>
        <w:rPr>
          <w:rStyle w:val="NormalCharacter"/>
          <w:rFonts w:cs="Times New Roman"/>
        </w:rPr>
        <w:t>非自由防守人</w:t>
      </w:r>
      <w:bookmarkEnd w:id="2"/>
    </w:p>
    <w:p w:rsidR="007A76AE" w:rsidRDefault="00E01060">
      <w:pPr>
        <w:pStyle w:val="3"/>
        <w:rPr>
          <w:rStyle w:val="20"/>
          <w:rFonts w:cs="Times New Roman"/>
          <w:bCs/>
        </w:rPr>
      </w:pPr>
      <w:bookmarkStart w:id="3" w:name="_Toc123493565"/>
      <w:r>
        <w:rPr>
          <w:rStyle w:val="NormalCharacter"/>
          <w:rFonts w:cs="Times New Roman"/>
        </w:rPr>
        <w:t>一、考核指标与所占分值</w:t>
      </w:r>
      <w:bookmarkEnd w:id="3"/>
    </w:p>
    <w:p w:rsidR="007A76AE" w:rsidRDefault="00E01060">
      <w:pPr>
        <w:ind w:firstLine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6117590" cy="1465580"/>
            <wp:effectExtent l="0" t="0" r="3810" b="7620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1465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A76AE" w:rsidRDefault="00E01060">
      <w:pPr>
        <w:pStyle w:val="3"/>
        <w:rPr>
          <w:rStyle w:val="NormalCharacter"/>
          <w:rFonts w:cs="Times New Roman"/>
        </w:rPr>
      </w:pPr>
      <w:bookmarkStart w:id="4" w:name="_Toc123493566"/>
      <w:r>
        <w:rPr>
          <w:rStyle w:val="NormalCharacter"/>
          <w:rFonts w:cs="Times New Roman"/>
        </w:rPr>
        <w:t>二、考试方法与评分标准</w:t>
      </w:r>
      <w:bookmarkEnd w:id="4"/>
    </w:p>
    <w:p w:rsidR="007A76AE" w:rsidRDefault="00E01060">
      <w:pPr>
        <w:spacing w:line="500" w:lineRule="exact"/>
        <w:ind w:firstLineChars="150" w:firstLine="420"/>
        <w:rPr>
          <w:rStyle w:val="NormalCharacter"/>
          <w:rFonts w:ascii="Times New Roman" w:hAnsi="Times New Roman" w:cs="Times New Roman"/>
          <w:b/>
          <w:bCs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/>
          <w:bCs/>
          <w:sz w:val="28"/>
          <w:szCs w:val="28"/>
        </w:rPr>
        <w:t>（一）专项素质</w:t>
      </w:r>
    </w:p>
    <w:p w:rsidR="007A76AE" w:rsidRDefault="00E01060">
      <w:pPr>
        <w:widowControl w:val="0"/>
        <w:tabs>
          <w:tab w:val="left" w:pos="540"/>
          <w:tab w:val="left" w:pos="720"/>
        </w:tabs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bCs/>
          <w:sz w:val="28"/>
          <w:szCs w:val="28"/>
        </w:rPr>
      </w:pPr>
      <w:r>
        <w:rPr>
          <w:rStyle w:val="NormalCharacter"/>
          <w:rFonts w:ascii="Times New Roman" w:hAnsi="Times New Roman" w:cs="Times New Roman"/>
          <w:sz w:val="28"/>
          <w:szCs w:val="28"/>
        </w:rPr>
        <w:t>助跑摸高</w:t>
      </w:r>
    </w:p>
    <w:p w:rsidR="007A76AE" w:rsidRDefault="00E01060">
      <w:pPr>
        <w:widowControl w:val="0"/>
        <w:tabs>
          <w:tab w:val="left" w:pos="540"/>
          <w:tab w:val="left" w:pos="720"/>
        </w:tabs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b/>
          <w:bCs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1.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考试方法：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考生助跑双脚起跳摸高，单手触摸电子摸高器或有固定标尺的高物，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记录绝对高度。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每人测试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次，取最好成绩（精确到厘米）。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bCs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2.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评分标准：见表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</w:t>
      </w:r>
    </w:p>
    <w:p w:rsidR="007A76AE" w:rsidRDefault="007A76AE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bCs/>
          <w:sz w:val="28"/>
          <w:szCs w:val="28"/>
        </w:rPr>
      </w:pPr>
    </w:p>
    <w:p w:rsidR="007A76AE" w:rsidRDefault="00E01060">
      <w:pPr>
        <w:ind w:leftChars="-135" w:left="-283" w:firstLine="0"/>
        <w:rPr>
          <w:rStyle w:val="NormalCharacter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6116955" cy="7177405"/>
            <wp:effectExtent l="0" t="0" r="4445" b="1079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7177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A76AE" w:rsidRDefault="00E01060">
      <w:pPr>
        <w:ind w:firstLineChars="49" w:firstLine="118"/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NormalCharacter"/>
          <w:rFonts w:ascii="Times New Roman" w:hAnsi="Times New Roman" w:cs="Times New Roman" w:hint="eastAsia"/>
          <w:b/>
          <w:bCs/>
          <w:sz w:val="24"/>
          <w:szCs w:val="24"/>
        </w:rPr>
        <w:t>表</w:t>
      </w:r>
      <w:r>
        <w:rPr>
          <w:rStyle w:val="NormalCharacter"/>
          <w:rFonts w:ascii="Times New Roman" w:hAnsi="Times New Roman" w:cs="Times New Roman" w:hint="eastAsia"/>
          <w:b/>
          <w:bCs/>
          <w:sz w:val="24"/>
          <w:szCs w:val="24"/>
        </w:rPr>
        <w:t>1</w:t>
      </w:r>
      <w:r w:rsidR="00545AD1"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Style w:val="NormalCharacter"/>
          <w:rFonts w:ascii="Times New Roman" w:hAnsi="Times New Roman" w:cs="Times New Roman" w:hint="eastAsia"/>
          <w:b/>
          <w:bCs/>
          <w:sz w:val="24"/>
          <w:szCs w:val="24"/>
        </w:rPr>
        <w:t>助跑摸高评分表</w:t>
      </w:r>
      <w:bookmarkStart w:id="5" w:name="_GoBack"/>
      <w:bookmarkEnd w:id="5"/>
    </w:p>
    <w:p w:rsidR="007A76AE" w:rsidRDefault="007A76AE">
      <w:pPr>
        <w:ind w:firstLineChars="49" w:firstLine="118"/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</w:pPr>
    </w:p>
    <w:p w:rsidR="007A76AE" w:rsidRDefault="007A76AE">
      <w:pPr>
        <w:ind w:firstLineChars="49" w:firstLine="118"/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</w:pPr>
    </w:p>
    <w:p w:rsidR="007A76AE" w:rsidRDefault="007A76AE">
      <w:pPr>
        <w:ind w:firstLineChars="49" w:firstLine="118"/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</w:pPr>
    </w:p>
    <w:p w:rsidR="007A76AE" w:rsidRDefault="007A76AE">
      <w:pPr>
        <w:ind w:firstLine="0"/>
        <w:jc w:val="both"/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</w:pPr>
    </w:p>
    <w:p w:rsidR="007A76AE" w:rsidRDefault="007A76AE">
      <w:pPr>
        <w:ind w:firstLine="0"/>
        <w:rPr>
          <w:rStyle w:val="NormalCharacter"/>
          <w:rFonts w:ascii="Times New Roman" w:hAnsi="Times New Roman" w:cs="Times New Roman"/>
          <w:sz w:val="28"/>
          <w:szCs w:val="28"/>
        </w:rPr>
      </w:pPr>
    </w:p>
    <w:p w:rsidR="007A76AE" w:rsidRDefault="00E01060">
      <w:pPr>
        <w:widowControl w:val="0"/>
        <w:spacing w:line="500" w:lineRule="exact"/>
        <w:ind w:firstLineChars="221" w:firstLine="619"/>
        <w:jc w:val="both"/>
        <w:rPr>
          <w:rStyle w:val="NormalCharacter"/>
          <w:rFonts w:ascii="Times New Roman" w:hAnsi="Times New Roman" w:cs="Times New Roman"/>
          <w:b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/>
          <w:sz w:val="28"/>
          <w:szCs w:val="28"/>
        </w:rPr>
        <w:t>1.</w:t>
      </w:r>
      <w:r>
        <w:rPr>
          <w:rStyle w:val="NormalCharacter"/>
          <w:rFonts w:ascii="Times New Roman" w:hAnsi="Times New Roman" w:cs="Times New Roman"/>
          <w:b/>
          <w:sz w:val="28"/>
          <w:szCs w:val="28"/>
        </w:rPr>
        <w:t>发球</w:t>
      </w:r>
    </w:p>
    <w:p w:rsidR="007A76AE" w:rsidRDefault="00E01060">
      <w:pPr>
        <w:widowControl w:val="0"/>
        <w:spacing w:line="500" w:lineRule="exact"/>
        <w:ind w:firstLineChars="250" w:firstLine="700"/>
        <w:jc w:val="both"/>
        <w:rPr>
          <w:rStyle w:val="NormalCharacter"/>
          <w:rFonts w:ascii="Times New Roman" w:hAnsi="Times New Roman" w:cs="Times New Roman"/>
          <w:sz w:val="28"/>
          <w:szCs w:val="28"/>
          <w:highlight w:val="green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（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）考试方法：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考生在发球区内任意位置连续发球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10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次，每次发球根据落点区域的不同获得相应分数，累计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10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次发球得分为最终成绩。</w:t>
      </w:r>
    </w:p>
    <w:p w:rsidR="007A76AE" w:rsidRDefault="00E01060">
      <w:pPr>
        <w:widowControl w:val="0"/>
        <w:tabs>
          <w:tab w:val="left" w:pos="435"/>
          <w:tab w:val="left" w:pos="720"/>
        </w:tabs>
        <w:spacing w:line="500" w:lineRule="exact"/>
        <w:ind w:firstLineChars="250" w:firstLine="700"/>
        <w:jc w:val="both"/>
        <w:rPr>
          <w:rStyle w:val="NormalCharacter"/>
          <w:rFonts w:ascii="Times New Roman" w:hAnsi="Times New Roman" w:cs="Times New Roman"/>
          <w:sz w:val="28"/>
          <w:szCs w:val="28"/>
        </w:rPr>
      </w:pPr>
      <w:r>
        <w:rPr>
          <w:rStyle w:val="NormalCharacter"/>
          <w:rFonts w:ascii="Times New Roman" w:hAnsi="Times New Roman" w:cs="Times New Roman"/>
          <w:sz w:val="28"/>
          <w:szCs w:val="28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）评分标准：发球落点进入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A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区（中线后距离两边边线内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1.5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米，距离端线内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米的区域）得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1.5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分；进入场地其他区域得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分；发球失误或犯规不得分。如图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所示。</w:t>
      </w:r>
    </w:p>
    <w:p w:rsidR="007A76AE" w:rsidRDefault="00E01060">
      <w:pPr>
        <w:tabs>
          <w:tab w:val="left" w:pos="540"/>
          <w:tab w:val="left" w:pos="720"/>
        </w:tabs>
        <w:spacing w:before="156"/>
        <w:jc w:val="center"/>
        <w:rPr>
          <w:rStyle w:val="NormalCharacter"/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>
            <wp:extent cx="4549775" cy="2421255"/>
            <wp:effectExtent l="0" t="0" r="22225" b="17145"/>
            <wp:docPr id="14" name="图片 14" descr="C:\Users\ADMINI~1\AppData\Local\Temp\WeChat Files\f5ab68bf633de09f970cf5eff4357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~1\AppData\Local\Temp\WeChat Files\f5ab68bf633de09f970cf5eff43570d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977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6AE" w:rsidRDefault="00E01060">
      <w:pPr>
        <w:ind w:firstLineChars="1400" w:firstLine="3360"/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</w:pP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图</w:t>
      </w:r>
      <w:r w:rsidR="00545AD1"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1 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发球得分区域示意图</w:t>
      </w:r>
    </w:p>
    <w:p w:rsidR="007A76AE" w:rsidRDefault="00E01060">
      <w:pPr>
        <w:pStyle w:val="179"/>
        <w:spacing w:after="0"/>
        <w:ind w:firstLine="560"/>
        <w:rPr>
          <w:rStyle w:val="NormalCharacter"/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Style w:val="NormalCharacter"/>
          <w:rFonts w:ascii="Times New Roman" w:eastAsiaTheme="minorEastAsia" w:hAnsi="Times New Roman" w:cs="Times New Roman"/>
          <w:b/>
          <w:sz w:val="28"/>
          <w:szCs w:val="28"/>
        </w:rPr>
        <w:t>2.</w:t>
      </w:r>
      <w:r>
        <w:rPr>
          <w:rStyle w:val="NormalCharacter"/>
          <w:rFonts w:ascii="Times New Roman" w:eastAsiaTheme="minorEastAsia" w:hAnsi="Times New Roman" w:cs="Times New Roman"/>
          <w:b/>
          <w:sz w:val="28"/>
          <w:szCs w:val="28"/>
        </w:rPr>
        <w:t>扣球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b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）考试方法：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主攻、接应每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人一组，依次轮流扣考评员或考生（二传）从网前二传位置的传球。每名考生先扣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次直线，再扣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次斜线，共扣球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10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次，根据落点区域的不同获得相应的分数，累计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10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次扣球得分为最终成绩。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扣球位置（二或四号位）考生可自行选定。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如图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所示。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副攻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在三号位任选前快、短平快一种进行扣球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次，任选背快、背飞、背溜一种进行扣球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次。其中，每一种扣球左、右区域各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次，自由选择区域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次。如图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所示。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7A76AE" w:rsidRDefault="00E01060">
      <w:pPr>
        <w:ind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>
            <wp:extent cx="2454910" cy="2254250"/>
            <wp:effectExtent l="0" t="0" r="8890" b="635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54910" cy="225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2768600" cy="2284730"/>
            <wp:effectExtent l="0" t="0" r="0" b="1270"/>
            <wp:docPr id="1" name="图片 1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示&#10;&#10;描述已自动生成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79727" cy="2293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                              </w:t>
      </w:r>
    </w:p>
    <w:p w:rsidR="007A76AE" w:rsidRDefault="00E01060">
      <w:pPr>
        <w:spacing w:after="240"/>
        <w:ind w:firstLineChars="145" w:firstLine="348"/>
        <w:rPr>
          <w:rStyle w:val="NormalCharacter"/>
          <w:rFonts w:ascii="Times New Roman" w:hAnsi="Times New Roman" w:cs="Times New Roman"/>
          <w:bCs/>
          <w:color w:val="FF0000"/>
          <w:sz w:val="24"/>
          <w:szCs w:val="24"/>
        </w:rPr>
      </w:pP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2  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主攻、接应扣球示意图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                </w:t>
      </w:r>
      <w:r>
        <w:rPr>
          <w:rStyle w:val="NormalCharacter"/>
          <w:rFonts w:ascii="Times New Roman" w:hAnsi="Times New Roman" w:cs="Times New Roman"/>
          <w:b/>
          <w:color w:val="000000" w:themeColor="text1"/>
          <w:sz w:val="24"/>
          <w:szCs w:val="24"/>
          <w:lang w:eastAsia="zh-Hans"/>
        </w:rPr>
        <w:t>图</w:t>
      </w:r>
      <w:r>
        <w:rPr>
          <w:rStyle w:val="NormalCharacter"/>
          <w:rFonts w:ascii="Times New Roman" w:hAnsi="Times New Roman" w:cs="Times New Roman"/>
          <w:b/>
          <w:color w:val="000000" w:themeColor="text1"/>
          <w:sz w:val="24"/>
          <w:szCs w:val="24"/>
          <w:lang w:eastAsia="zh-Hans"/>
        </w:rPr>
        <w:t xml:space="preserve">3  </w:t>
      </w:r>
      <w:r>
        <w:rPr>
          <w:rStyle w:val="NormalCharacter"/>
          <w:rFonts w:ascii="Times New Roman" w:hAnsi="Times New Roman" w:cs="Times New Roman"/>
          <w:b/>
          <w:color w:val="000000" w:themeColor="text1"/>
          <w:sz w:val="24"/>
          <w:szCs w:val="24"/>
          <w:lang w:eastAsia="zh-Hans"/>
        </w:rPr>
        <w:t>副攻扣球示意图</w:t>
      </w:r>
    </w:p>
    <w:p w:rsidR="007A76AE" w:rsidRDefault="00E01060">
      <w:pPr>
        <w:spacing w:line="500" w:lineRule="exact"/>
        <w:ind w:firstLineChars="150" w:firstLine="420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（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）评分标准：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主攻、接应、副攻：扣球技术动作必须完整。搓吊球技术（引臂和挥臂击球动作中，肘关节未高于肩）和击出球呈抛物线飞行，属于犯规技术，不得分。</w:t>
      </w:r>
    </w:p>
    <w:p w:rsidR="007A76AE" w:rsidRDefault="00E01060">
      <w:pPr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直线扣球评分：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①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扣球落点在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1.5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米小直线区内，得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2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分；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②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扣球落点在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1.5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米大直线区内，得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分；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③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扣球落点在场内直线区以外的其它区域，得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0.5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分；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④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扣球失误或犯规技术得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0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分。</w:t>
      </w:r>
    </w:p>
    <w:p w:rsidR="007A76AE" w:rsidRDefault="00E01060">
      <w:pPr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斜线扣球评分：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①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扣球落点在小斜线区内，得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2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分；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②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扣球落点在大斜线区内，得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分；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 xml:space="preserve"> 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③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扣球落点在场内斜线区以外的其它区域，得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0.5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分；</w:t>
      </w:r>
    </w:p>
    <w:p w:rsidR="007A76AE" w:rsidRDefault="00E01060">
      <w:pPr>
        <w:spacing w:line="500" w:lineRule="exact"/>
        <w:ind w:firstLineChars="405" w:firstLine="1134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sz w:val="28"/>
          <w:szCs w:val="28"/>
          <w:lang w:eastAsia="zh-Hans"/>
        </w:rPr>
        <w:t>④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扣球失误或犯规技术，得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0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分。</w:t>
      </w:r>
    </w:p>
    <w:p w:rsidR="007A76AE" w:rsidRDefault="00E01060">
      <w:pPr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副攻扣球评分：</w:t>
      </w:r>
    </w:p>
    <w:p w:rsidR="007A76AE" w:rsidRDefault="00E01060">
      <w:pPr>
        <w:spacing w:line="500" w:lineRule="exact"/>
        <w:ind w:firstLineChars="400" w:firstLine="1120"/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Style w:val="NormalCharacter"/>
          <w:rFonts w:ascii="宋体" w:eastAsia="宋体" w:hAnsi="宋体" w:cs="宋体" w:hint="eastAsia"/>
          <w:bCs/>
          <w:color w:val="000000" w:themeColor="text1"/>
          <w:sz w:val="28"/>
          <w:szCs w:val="28"/>
          <w:lang w:eastAsia="zh-Hans"/>
        </w:rPr>
        <w:t>①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扣球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  <w:lang w:eastAsia="zh-Hans"/>
        </w:rPr>
        <w:t>落点在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规定区内且有一定力量，得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分</w:t>
      </w:r>
      <w:r>
        <w:rPr>
          <w:rStyle w:val="NormalCharacter"/>
          <w:rFonts w:ascii="Times New Roman" w:hAnsi="Times New Roman" w:cs="Times New Roman" w:hint="eastAsia"/>
          <w:bCs/>
          <w:color w:val="000000" w:themeColor="text1"/>
          <w:sz w:val="28"/>
          <w:szCs w:val="28"/>
        </w:rPr>
        <w:t>或</w:t>
      </w:r>
      <w:r>
        <w:rPr>
          <w:rStyle w:val="NormalCharacter"/>
          <w:rFonts w:ascii="Times New Roman" w:hAnsi="Times New Roman" w:cs="Times New Roman" w:hint="eastAsia"/>
          <w:bCs/>
          <w:color w:val="000000" w:themeColor="text1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 w:hint="eastAsia"/>
          <w:bCs/>
          <w:color w:val="000000" w:themeColor="text1"/>
          <w:sz w:val="28"/>
          <w:szCs w:val="28"/>
        </w:rPr>
        <w:t>分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；</w:t>
      </w:r>
    </w:p>
    <w:p w:rsidR="007A76AE" w:rsidRDefault="00E01060">
      <w:pPr>
        <w:spacing w:line="500" w:lineRule="exact"/>
        <w:ind w:firstLineChars="400" w:firstLine="1120"/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Style w:val="NormalCharacter"/>
          <w:rFonts w:ascii="宋体" w:eastAsia="宋体" w:hAnsi="宋体" w:cs="宋体" w:hint="eastAsia"/>
          <w:bCs/>
          <w:color w:val="000000" w:themeColor="text1"/>
          <w:sz w:val="28"/>
          <w:szCs w:val="28"/>
          <w:lang w:eastAsia="zh-Hans"/>
        </w:rPr>
        <w:t>②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扣球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  <w:lang w:eastAsia="zh-Hans"/>
        </w:rPr>
        <w:t>落点在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场内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规定区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  <w:lang w:eastAsia="zh-Hans"/>
        </w:rPr>
        <w:t>以外的其它区域，得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  <w:lang w:eastAsia="zh-Hans"/>
        </w:rPr>
        <w:t>0.5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  <w:lang w:eastAsia="zh-Hans"/>
        </w:rPr>
        <w:t>分；</w:t>
      </w:r>
    </w:p>
    <w:p w:rsidR="007A76AE" w:rsidRDefault="00E01060">
      <w:pPr>
        <w:spacing w:line="500" w:lineRule="exact"/>
        <w:ind w:firstLineChars="400" w:firstLine="1120"/>
        <w:rPr>
          <w:rStyle w:val="NormalCharacter"/>
          <w:rFonts w:ascii="宋体" w:eastAsia="宋体" w:hAnsi="宋体" w:cs="宋体"/>
          <w:bCs/>
          <w:color w:val="000000" w:themeColor="text1"/>
          <w:sz w:val="28"/>
          <w:szCs w:val="28"/>
          <w:lang w:eastAsia="zh-Hans"/>
        </w:rPr>
      </w:pPr>
      <w:r>
        <w:rPr>
          <w:rStyle w:val="NormalCharacter"/>
          <w:rFonts w:ascii="宋体" w:eastAsia="宋体" w:hAnsi="宋体" w:cs="宋体" w:hint="eastAsia"/>
          <w:bCs/>
          <w:color w:val="000000" w:themeColor="text1"/>
          <w:sz w:val="28"/>
          <w:szCs w:val="28"/>
          <w:lang w:eastAsia="zh-Hans"/>
        </w:rPr>
        <w:t>③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扣球失误或犯规技术，得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0</w:t>
      </w:r>
      <w:r>
        <w:rPr>
          <w:rStyle w:val="NormalCharacter"/>
          <w:rFonts w:ascii="Times New Roman" w:hAnsi="Times New Roman" w:cs="Times New Roman"/>
          <w:bCs/>
          <w:color w:val="000000" w:themeColor="text1"/>
          <w:sz w:val="28"/>
          <w:szCs w:val="28"/>
        </w:rPr>
        <w:t>分；</w:t>
      </w:r>
    </w:p>
    <w:p w:rsidR="007A76AE" w:rsidRDefault="00E01060">
      <w:pPr>
        <w:spacing w:line="500" w:lineRule="exact"/>
        <w:ind w:firstLineChars="250" w:firstLine="700"/>
        <w:rPr>
          <w:rStyle w:val="NormalCharacter"/>
          <w:rFonts w:ascii="Times New Roman" w:hAnsi="Times New Roman" w:cs="Times New Roman"/>
          <w:b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/>
          <w:sz w:val="28"/>
          <w:szCs w:val="28"/>
        </w:rPr>
        <w:t>3.</w:t>
      </w:r>
      <w:r>
        <w:rPr>
          <w:rStyle w:val="NormalCharacter"/>
          <w:rFonts w:ascii="Times New Roman" w:hAnsi="Times New Roman" w:cs="Times New Roman"/>
          <w:b/>
          <w:sz w:val="28"/>
          <w:szCs w:val="28"/>
        </w:rPr>
        <w:t>传球</w:t>
      </w:r>
    </w:p>
    <w:p w:rsidR="007A76AE" w:rsidRDefault="00E01060">
      <w:pPr>
        <w:spacing w:line="500" w:lineRule="exact"/>
        <w:ind w:firstLineChars="150" w:firstLine="420"/>
        <w:rPr>
          <w:rStyle w:val="NormalCharacter"/>
          <w:rFonts w:ascii="Times New Roman" w:hAnsi="Times New Roman" w:cs="Times New Roman"/>
          <w:bCs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lastRenderedPageBreak/>
        <w:t>（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）考试方法：考生在进攻线后准备，考评员在同边后场敲球或抛球，要求考生能快速跑动到球下，合理运用传球技术，并能够将球准确的传到指定目标。每名考生传二、四号位高球各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5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次，传三号位半高球、短平快球各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5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次，共传球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20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次，根据落点区域的不同获得相应分数，累计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20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次传球得分为最终成绩。</w:t>
      </w:r>
    </w:p>
    <w:p w:rsidR="007A76AE" w:rsidRDefault="00E01060">
      <w:pPr>
        <w:spacing w:line="500" w:lineRule="exact"/>
        <w:ind w:firstLineChars="150" w:firstLine="420"/>
        <w:rPr>
          <w:rStyle w:val="NormalCharacter"/>
          <w:rFonts w:ascii="Times New Roman" w:hAnsi="Times New Roman" w:cs="Times New Roman"/>
          <w:bCs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（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）评分标准：传出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的二、四号位高球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至少要高于球网上沿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米，传球进入目标筐内或触碰到目标筐顶部得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分；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传出的三号位半高球、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短平快球高度、位置合适得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分；传球落点在目标区域附近，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3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米线以内且有一定弧度得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0.5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分；传球失误及其他情况不得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分。</w:t>
      </w:r>
    </w:p>
    <w:p w:rsidR="007A76AE" w:rsidRDefault="00E01060">
      <w:pPr>
        <w:spacing w:line="500" w:lineRule="exact"/>
        <w:ind w:firstLineChars="150" w:firstLine="420"/>
        <w:rPr>
          <w:rStyle w:val="NormalCharacter"/>
          <w:rFonts w:ascii="Times New Roman" w:hAnsi="Times New Roman" w:cs="Times New Roman"/>
          <w:bCs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（三）实战能力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比赛</w:t>
      </w:r>
    </w:p>
    <w:p w:rsidR="007A76AE" w:rsidRDefault="00E01060">
      <w:pPr>
        <w:widowControl w:val="0"/>
        <w:spacing w:line="500" w:lineRule="exact"/>
        <w:ind w:firstLineChars="100" w:firstLine="28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1.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考试方法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：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视考生人数分队进行比赛（可由考评员向两边抛球进行），比赛时间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10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分钟，或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根据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轮转等实际考试情况由主考确定每组比赛时间。</w:t>
      </w:r>
    </w:p>
    <w:p w:rsidR="007A76AE" w:rsidRDefault="00E01060">
      <w:pPr>
        <w:widowControl w:val="0"/>
        <w:spacing w:line="500" w:lineRule="exact"/>
        <w:ind w:firstLineChars="100" w:firstLine="280"/>
        <w:jc w:val="both"/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2.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评分标准：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考评员参照实战能力评分细则（表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2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），独立对考生的技术动作规范、协调程度、运用效果，战术意识以及个人实战能力等方面进行综合评定。采用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10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分制评分，分数至多可到小数点后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bCs/>
          <w:sz w:val="28"/>
          <w:szCs w:val="28"/>
          <w:lang w:eastAsia="zh-Hans"/>
        </w:rPr>
        <w:t>位。</w:t>
      </w:r>
    </w:p>
    <w:tbl>
      <w:tblPr>
        <w:tblpPr w:leftFromText="180" w:rightFromText="180" w:vertAnchor="text" w:tblpY="180"/>
        <w:tblW w:w="991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2"/>
        <w:gridCol w:w="7796"/>
      </w:tblGrid>
      <w:tr w:rsidR="007A76AE">
        <w:trPr>
          <w:trHeight w:val="393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A76AE" w:rsidRDefault="00E01060">
            <w:pPr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等级（分值范围）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评价标准</w:t>
            </w:r>
          </w:p>
        </w:tc>
      </w:tr>
      <w:tr w:rsidR="007A76AE">
        <w:trPr>
          <w:trHeight w:val="393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优（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10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～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8.</w:t>
            </w:r>
            <w:r>
              <w:rPr>
                <w:rFonts w:ascii="Times New Roman" w:eastAsia="Times New Roman Regular" w:hAnsi="Times New Roman" w:cs="Times New Roman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分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技术动作规范协调，运用效果良好；战术意识及个人实战能力很强。</w:t>
            </w:r>
          </w:p>
        </w:tc>
      </w:tr>
      <w:tr w:rsidR="007A76AE">
        <w:trPr>
          <w:trHeight w:val="65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良（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8.5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～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7.6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分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技术动作较规范协调，运用效果良好；战术意识及个人实战能力较强。</w:t>
            </w:r>
          </w:p>
        </w:tc>
      </w:tr>
      <w:tr w:rsidR="007A76AE">
        <w:trPr>
          <w:trHeight w:val="65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中（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7.5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～</w:t>
            </w:r>
            <w:r>
              <w:rPr>
                <w:rFonts w:ascii="Times New Roman" w:eastAsia="Times New Roman Regular" w:hAnsi="Times New Roman" w:cs="Times New Roman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分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技术动作规范程度、协调性及运用效果一般；战术意识及个人实战能力一般。</w:t>
            </w:r>
          </w:p>
        </w:tc>
      </w:tr>
      <w:tr w:rsidR="007A76AE">
        <w:trPr>
          <w:trHeight w:val="662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差（</w:t>
            </w:r>
            <w:r>
              <w:rPr>
                <w:rFonts w:ascii="Times New Roman" w:eastAsia="Times New Roman Regular" w:hAnsi="Times New Roman" w:cs="Times New Roman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分以下）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技术动作规范程度、协调性及运用效果较差；战术意识及个人实战能力较差。</w:t>
            </w:r>
          </w:p>
        </w:tc>
      </w:tr>
    </w:tbl>
    <w:p w:rsidR="007A76AE" w:rsidRDefault="00E01060">
      <w:pPr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  <w:t>表</w:t>
      </w:r>
      <w:r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  <w:t xml:space="preserve">2 </w:t>
      </w:r>
      <w:r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  <w:t>排球实战能力评分细则</w:t>
      </w:r>
    </w:p>
    <w:p w:rsidR="007A76AE" w:rsidRDefault="00E01060">
      <w:pPr>
        <w:pStyle w:val="3"/>
        <w:rPr>
          <w:rStyle w:val="NormalCharacter"/>
          <w:rFonts w:cs="Times New Roman"/>
        </w:rPr>
      </w:pPr>
      <w:bookmarkStart w:id="6" w:name="_Toc123493567"/>
      <w:r>
        <w:rPr>
          <w:rStyle w:val="NormalCharacter"/>
          <w:rFonts w:cs="Times New Roman"/>
        </w:rPr>
        <w:t>三、其他</w:t>
      </w:r>
      <w:bookmarkEnd w:id="6"/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考生需着无标识的服装参加考试，如因伤必须佩戴护具的按如下要求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lastRenderedPageBreak/>
        <w:t>穿戴：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）护膝、护腕、护肩、护肘等护具必须为纯黑色或白色。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）肌肉贴等需为米色。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）长筒袜必须为纯白色。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4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）不得佩戴发带。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考试场地及器材要求</w:t>
      </w:r>
    </w:p>
    <w:p w:rsidR="007A76AE" w:rsidRDefault="00E01060">
      <w:pPr>
        <w:widowControl w:val="0"/>
        <w:spacing w:line="500" w:lineRule="exact"/>
        <w:ind w:firstLineChars="250" w:firstLine="70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考试场地和考试用球严格按照中国排球协会最新审定的《排球竟赛规则》中的相关要求执行。</w:t>
      </w:r>
    </w:p>
    <w:p w:rsidR="007A76AE" w:rsidRDefault="007A76AE">
      <w:pPr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</w:p>
    <w:p w:rsidR="007A76AE" w:rsidRDefault="007A76AE">
      <w:pPr>
        <w:widowControl w:val="0"/>
        <w:spacing w:line="8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</w:p>
    <w:p w:rsidR="007A76AE" w:rsidRDefault="00E01060">
      <w:pPr>
        <w:widowControl w:val="0"/>
        <w:spacing w:line="500" w:lineRule="exact"/>
        <w:ind w:firstLine="0"/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</w:pPr>
      <w:r>
        <w:rPr>
          <w:rStyle w:val="NormalCharacter"/>
          <w:rFonts w:ascii="Times New Roman" w:hAnsi="Times New Roman" w:cs="Times New Roman"/>
          <w:b/>
          <w:bCs/>
          <w:sz w:val="36"/>
          <w:szCs w:val="36"/>
          <w:lang w:eastAsia="zh-Hans"/>
        </w:rPr>
        <w:br w:type="page"/>
      </w:r>
    </w:p>
    <w:p w:rsidR="007A76AE" w:rsidRDefault="00E01060">
      <w:pPr>
        <w:pStyle w:val="2"/>
        <w:rPr>
          <w:rStyle w:val="NormalCharacter"/>
          <w:rFonts w:cs="Times New Roman"/>
          <w:bCs w:val="0"/>
          <w:sz w:val="36"/>
          <w:szCs w:val="36"/>
          <w:lang w:eastAsia="zh-Hans"/>
        </w:rPr>
      </w:pPr>
      <w:bookmarkStart w:id="7" w:name="_Toc123493568"/>
      <w:r>
        <w:rPr>
          <w:rStyle w:val="NormalCharacter"/>
          <w:rFonts w:cs="Times New Roman"/>
          <w:sz w:val="36"/>
          <w:szCs w:val="36"/>
          <w:lang w:eastAsia="zh-Hans"/>
        </w:rPr>
        <w:lastRenderedPageBreak/>
        <w:t>自由防守人</w:t>
      </w:r>
      <w:bookmarkEnd w:id="7"/>
    </w:p>
    <w:p w:rsidR="007A76AE" w:rsidRDefault="00E01060">
      <w:pPr>
        <w:pStyle w:val="3"/>
        <w:rPr>
          <w:rStyle w:val="NormalCharacter"/>
          <w:rFonts w:cs="Times New Roman"/>
        </w:rPr>
      </w:pPr>
      <w:bookmarkStart w:id="8" w:name="_Toc123493569"/>
      <w:r>
        <w:rPr>
          <w:rStyle w:val="NormalCharacter"/>
          <w:rFonts w:cs="Times New Roman"/>
        </w:rPr>
        <w:t>一、考核指标与所占分值</w:t>
      </w:r>
      <w:bookmarkEnd w:id="8"/>
    </w:p>
    <w:p w:rsidR="007A76AE" w:rsidRDefault="00E01060">
      <w:pPr>
        <w:ind w:firstLine="0"/>
        <w:jc w:val="center"/>
        <w:rPr>
          <w:rStyle w:val="NormalCharacter"/>
          <w:rFonts w:ascii="Times New Roman" w:hAnsi="Times New Roman" w:cs="Times New Roman"/>
          <w:b/>
          <w:bCs/>
          <w:sz w:val="30"/>
          <w:szCs w:val="30"/>
          <w:lang w:eastAsia="zh-Hans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6117590" cy="1447800"/>
            <wp:effectExtent l="0" t="0" r="381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A76AE" w:rsidRDefault="00E01060">
      <w:pPr>
        <w:pStyle w:val="3"/>
        <w:rPr>
          <w:rStyle w:val="NormalCharacter"/>
          <w:rFonts w:cs="Times New Roman"/>
        </w:rPr>
      </w:pPr>
      <w:bookmarkStart w:id="9" w:name="_Toc123493570"/>
      <w:r>
        <w:rPr>
          <w:rStyle w:val="NormalCharacter"/>
          <w:rFonts w:cs="Times New Roman"/>
        </w:rPr>
        <w:t>二、考试方法与评分标准</w:t>
      </w:r>
      <w:bookmarkEnd w:id="9"/>
    </w:p>
    <w:p w:rsidR="007A76AE" w:rsidRDefault="00E01060">
      <w:pPr>
        <w:widowControl w:val="0"/>
        <w:numPr>
          <w:ilvl w:val="0"/>
          <w:numId w:val="1"/>
        </w:numPr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b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/>
          <w:sz w:val="28"/>
          <w:szCs w:val="28"/>
          <w:lang w:eastAsia="zh-Hans"/>
        </w:rPr>
        <w:t>专项素质</w:t>
      </w:r>
    </w:p>
    <w:p w:rsidR="007A76AE" w:rsidRDefault="00E01060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b/>
          <w:bCs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“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半米字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”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移动</w:t>
      </w:r>
    </w:p>
    <w:p w:rsidR="007A76AE" w:rsidRDefault="00E01060">
      <w:pPr>
        <w:widowControl w:val="0"/>
        <w:spacing w:line="500" w:lineRule="exact"/>
        <w:ind w:firstLineChars="200" w:firstLine="560"/>
        <w:rPr>
          <w:rFonts w:ascii="Times New Roman" w:hAnsi="Times New Roman" w:cs="Times New Roman"/>
          <w:sz w:val="28"/>
          <w:szCs w:val="28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考试方法：</w:t>
      </w:r>
      <w:r>
        <w:rPr>
          <w:rFonts w:ascii="Times New Roman" w:hAnsi="Times New Roman" w:cs="Times New Roman"/>
          <w:sz w:val="28"/>
          <w:szCs w:val="28"/>
        </w:rPr>
        <w:t>考生面向球网，从起点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端线中点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起动，计时开始，先向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号点移动，击倒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号点标志物后，应立即返回起点并击倒起点处标志物，再向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号点移动，以此类推，直到击倒</w:t>
      </w: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号点标志物回到端线中点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须将每个标志物击倒，否则不计成绩</w:t>
      </w:r>
      <w:r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，计时停止，记录完成的时间。每人测试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次，取最好成绩。如图</w:t>
      </w:r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  <w:lang w:eastAsia="zh-Hans"/>
        </w:rPr>
        <w:t>所示。</w:t>
      </w:r>
    </w:p>
    <w:p w:rsidR="007A76AE" w:rsidRDefault="00E01060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评分标准：见表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</w:p>
    <w:p w:rsidR="007A76AE" w:rsidRDefault="00E01060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799715" cy="2241550"/>
            <wp:effectExtent l="0" t="0" r="19685" b="1905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99715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A76AE" w:rsidRDefault="00E01060">
      <w:pPr>
        <w:ind w:firstLineChars="1350" w:firstLine="3240"/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</w:pP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4 “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半米字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”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移动示意图</w:t>
      </w:r>
    </w:p>
    <w:p w:rsidR="007A76AE" w:rsidRDefault="007A76AE">
      <w:pPr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</w:pPr>
    </w:p>
    <w:p w:rsidR="007A76AE" w:rsidRDefault="007A76AE">
      <w:pPr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</w:rPr>
      </w:pPr>
    </w:p>
    <w:p w:rsidR="007A76AE" w:rsidRDefault="00E01060">
      <w:pPr>
        <w:ind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6113780" cy="7903210"/>
            <wp:effectExtent l="0" t="0" r="7620" b="215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7903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A76AE" w:rsidRDefault="00E01060">
      <w:pPr>
        <w:jc w:val="center"/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</w:pPr>
      <w:r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>表</w:t>
      </w:r>
      <w:r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>3 “</w:t>
      </w:r>
      <w:r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>半米字</w:t>
      </w:r>
      <w:r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>”</w:t>
      </w:r>
      <w:r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>移动评分表</w:t>
      </w:r>
    </w:p>
    <w:p w:rsidR="007A76AE" w:rsidRDefault="007A76AE">
      <w:pPr>
        <w:jc w:val="center"/>
        <w:rPr>
          <w:rFonts w:ascii="Times New Roman" w:hAnsi="Times New Roman" w:cs="Times New Roman"/>
        </w:rPr>
      </w:pPr>
    </w:p>
    <w:p w:rsidR="007A76AE" w:rsidRDefault="00E01060">
      <w:pPr>
        <w:ind w:firstLineChars="150" w:firstLine="420"/>
        <w:rPr>
          <w:rFonts w:ascii="Times New Roman" w:hAnsi="Times New Roman" w:cs="Times New Roman"/>
          <w:b/>
          <w:sz w:val="28"/>
          <w:szCs w:val="28"/>
          <w:lang w:eastAsia="zh-Hans"/>
        </w:rPr>
      </w:pPr>
      <w:r>
        <w:rPr>
          <w:rFonts w:ascii="Times New Roman" w:hAnsi="Times New Roman" w:cs="Times New Roman"/>
          <w:b/>
          <w:sz w:val="28"/>
          <w:szCs w:val="28"/>
          <w:lang w:eastAsia="zh-Hans"/>
        </w:rPr>
        <w:t>（二）专项技术</w:t>
      </w:r>
    </w:p>
    <w:p w:rsidR="007A76AE" w:rsidRDefault="00E01060">
      <w:pPr>
        <w:widowControl w:val="0"/>
        <w:spacing w:line="500" w:lineRule="exact"/>
        <w:ind w:firstLineChars="200" w:firstLine="560"/>
        <w:rPr>
          <w:rFonts w:ascii="Times New Roman" w:hAnsi="Times New Roman" w:cs="Times New Roman"/>
          <w:sz w:val="28"/>
          <w:szCs w:val="28"/>
          <w:lang w:eastAsia="zh-Hans"/>
        </w:rPr>
      </w:pPr>
      <w:r>
        <w:rPr>
          <w:rFonts w:ascii="Times New Roman" w:hAnsi="Times New Roman" w:cs="Times New Roman"/>
          <w:sz w:val="28"/>
          <w:szCs w:val="28"/>
          <w:lang w:eastAsia="zh-Hans"/>
        </w:rPr>
        <w:t>1.</w:t>
      </w:r>
      <w:r>
        <w:rPr>
          <w:rFonts w:ascii="Times New Roman" w:hAnsi="Times New Roman" w:cs="Times New Roman"/>
          <w:sz w:val="28"/>
          <w:szCs w:val="28"/>
          <w:lang w:eastAsia="zh-Hans"/>
        </w:rPr>
        <w:t>接发球</w:t>
      </w:r>
    </w:p>
    <w:p w:rsidR="007A76AE" w:rsidRDefault="00E01060">
      <w:pPr>
        <w:widowControl w:val="0"/>
        <w:spacing w:line="500" w:lineRule="exact"/>
        <w:ind w:firstLineChars="200" w:firstLine="560"/>
        <w:rPr>
          <w:rFonts w:ascii="Times New Roman" w:hAnsi="Times New Roman" w:cs="Times New Roman"/>
          <w:sz w:val="28"/>
          <w:szCs w:val="28"/>
          <w:lang w:eastAsia="zh-Hans"/>
        </w:rPr>
      </w:pPr>
      <w:r>
        <w:rPr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Fonts w:ascii="Times New Roman" w:hAnsi="Times New Roman" w:cs="Times New Roman"/>
          <w:sz w:val="28"/>
          <w:szCs w:val="28"/>
          <w:lang w:eastAsia="zh-Hans"/>
        </w:rPr>
        <w:t>1</w:t>
      </w:r>
      <w:r>
        <w:rPr>
          <w:rFonts w:ascii="Times New Roman" w:hAnsi="Times New Roman" w:cs="Times New Roman"/>
          <w:sz w:val="28"/>
          <w:szCs w:val="28"/>
          <w:lang w:eastAsia="zh-Hans"/>
        </w:rPr>
        <w:t>）考试方法：考生在规定区域内准备，接考评员从对方场区发的各种来球，左半场区接</w:t>
      </w:r>
      <w:r>
        <w:rPr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Fonts w:ascii="Times New Roman" w:hAnsi="Times New Roman" w:cs="Times New Roman"/>
          <w:sz w:val="28"/>
          <w:szCs w:val="28"/>
          <w:lang w:eastAsia="zh-Hans"/>
        </w:rPr>
        <w:t>次，右半场区接</w:t>
      </w:r>
      <w:r>
        <w:rPr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Fonts w:ascii="Times New Roman" w:hAnsi="Times New Roman" w:cs="Times New Roman"/>
          <w:sz w:val="28"/>
          <w:szCs w:val="28"/>
          <w:lang w:eastAsia="zh-Hans"/>
        </w:rPr>
        <w:t>次，共接</w:t>
      </w:r>
      <w:r>
        <w:rPr>
          <w:rFonts w:ascii="Times New Roman" w:hAnsi="Times New Roman" w:cs="Times New Roman"/>
          <w:sz w:val="28"/>
          <w:szCs w:val="28"/>
          <w:lang w:eastAsia="zh-Hans"/>
        </w:rPr>
        <w:t>10</w:t>
      </w:r>
      <w:r>
        <w:rPr>
          <w:rFonts w:ascii="Times New Roman" w:hAnsi="Times New Roman" w:cs="Times New Roman"/>
          <w:sz w:val="28"/>
          <w:szCs w:val="28"/>
          <w:lang w:eastAsia="zh-Hans"/>
        </w:rPr>
        <w:t>次来球。如图</w:t>
      </w:r>
      <w:r>
        <w:rPr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Fonts w:ascii="Times New Roman" w:hAnsi="Times New Roman" w:cs="Times New Roman"/>
          <w:sz w:val="28"/>
          <w:szCs w:val="28"/>
          <w:lang w:eastAsia="zh-Hans"/>
        </w:rPr>
        <w:t>所示，每次根据垫球进入区域的不同获得相应的分数，累计</w:t>
      </w:r>
      <w:r>
        <w:rPr>
          <w:rFonts w:ascii="Times New Roman" w:hAnsi="Times New Roman" w:cs="Times New Roman"/>
          <w:sz w:val="28"/>
          <w:szCs w:val="28"/>
          <w:lang w:eastAsia="zh-Hans"/>
        </w:rPr>
        <w:t>10</w:t>
      </w:r>
      <w:r>
        <w:rPr>
          <w:rFonts w:ascii="Times New Roman" w:hAnsi="Times New Roman" w:cs="Times New Roman"/>
          <w:sz w:val="28"/>
          <w:szCs w:val="28"/>
          <w:lang w:eastAsia="zh-Hans"/>
        </w:rPr>
        <w:t>次接发球得分为最终成绩。</w:t>
      </w:r>
    </w:p>
    <w:p w:rsidR="007A76AE" w:rsidRDefault="00E01060">
      <w:pPr>
        <w:widowControl w:val="0"/>
        <w:spacing w:line="500" w:lineRule="exact"/>
        <w:ind w:firstLineChars="200" w:firstLine="560"/>
        <w:rPr>
          <w:rFonts w:ascii="Times New Roman" w:hAnsi="Times New Roman" w:cs="Times New Roman"/>
          <w:sz w:val="28"/>
          <w:szCs w:val="28"/>
          <w:lang w:eastAsia="zh-Hans"/>
        </w:rPr>
      </w:pPr>
      <w:r>
        <w:rPr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Fonts w:ascii="Times New Roman" w:hAnsi="Times New Roman" w:cs="Times New Roman"/>
          <w:sz w:val="28"/>
          <w:szCs w:val="28"/>
          <w:lang w:eastAsia="zh-Hans"/>
        </w:rPr>
        <w:t>2</w:t>
      </w:r>
      <w:r>
        <w:rPr>
          <w:rFonts w:ascii="Times New Roman" w:hAnsi="Times New Roman" w:cs="Times New Roman"/>
          <w:sz w:val="28"/>
          <w:szCs w:val="28"/>
          <w:lang w:eastAsia="zh-Hans"/>
        </w:rPr>
        <w:t>）评分标准：如图</w:t>
      </w:r>
      <w:r>
        <w:rPr>
          <w:rFonts w:ascii="Times New Roman" w:hAnsi="Times New Roman" w:cs="Times New Roman"/>
          <w:sz w:val="28"/>
          <w:szCs w:val="28"/>
          <w:lang w:eastAsia="zh-Hans"/>
        </w:rPr>
        <w:t>6</w:t>
      </w:r>
      <w:r>
        <w:rPr>
          <w:rFonts w:ascii="Times New Roman" w:hAnsi="Times New Roman" w:cs="Times New Roman"/>
          <w:sz w:val="28"/>
          <w:szCs w:val="28"/>
          <w:lang w:eastAsia="zh-Hans"/>
        </w:rPr>
        <w:t>所示，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距右侧边线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1.5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米处，由中线和三米线形成一个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3×3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米的正方形区域，在距离三米线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米处，画一条平行于三米线的直线，将正方形区域分成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A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、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B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两部分。靠球网部分为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A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区（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2×3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米），靠三米线部分为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B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区（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1×3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米）。</w:t>
      </w:r>
    </w:p>
    <w:p w:rsidR="007A76AE" w:rsidRDefault="00E01060">
      <w:pPr>
        <w:rPr>
          <w:rFonts w:ascii="Times New Roman" w:hAnsi="Times New Roman" w:cs="Times New Roman"/>
          <w:sz w:val="28"/>
          <w:szCs w:val="28"/>
          <w:lang w:eastAsia="zh-Hans"/>
        </w:rPr>
      </w:pPr>
      <w:r>
        <w:rPr>
          <w:rFonts w:ascii="Times New Roman" w:hAnsi="Times New Roman" w:cs="Times New Roman"/>
          <w:szCs w:val="24"/>
        </w:rPr>
        <w:t xml:space="preserve">       </w:t>
      </w:r>
      <w:r>
        <w:rPr>
          <w:rFonts w:ascii="Times New Roman" w:hAnsi="Times New Roman" w:cs="Times New Roman"/>
          <w:noProof/>
          <w:szCs w:val="24"/>
        </w:rPr>
        <w:drawing>
          <wp:inline distT="0" distB="0" distL="0" distR="0">
            <wp:extent cx="1869440" cy="3185795"/>
            <wp:effectExtent l="0" t="0" r="10160" b="146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5313" cy="319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4"/>
        </w:rPr>
        <w:t xml:space="preserve">               </w:t>
      </w:r>
      <w:r>
        <w:rPr>
          <w:rFonts w:ascii="Times New Roman" w:hAnsi="Times New Roman" w:cs="Times New Roman"/>
          <w:noProof/>
          <w:szCs w:val="24"/>
        </w:rPr>
        <w:drawing>
          <wp:inline distT="0" distB="0" distL="0" distR="0">
            <wp:extent cx="1870075" cy="3169920"/>
            <wp:effectExtent l="0" t="0" r="9525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8631" cy="318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6AE" w:rsidRDefault="00E01060">
      <w:pPr>
        <w:rPr>
          <w:rStyle w:val="NormalCharacter"/>
          <w:rFonts w:ascii="Times New Roman" w:hAnsi="Times New Roman" w:cs="Times New Roman"/>
          <w:b/>
          <w:sz w:val="24"/>
          <w:szCs w:val="24"/>
        </w:rPr>
      </w:pPr>
      <w:r>
        <w:rPr>
          <w:rStyle w:val="NormalCharacter"/>
          <w:rFonts w:ascii="Times New Roman" w:hAnsi="Times New Roman" w:cs="Times New Roman"/>
          <w:b/>
          <w:sz w:val="24"/>
          <w:szCs w:val="24"/>
        </w:rPr>
        <w:t xml:space="preserve">         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5  </w:t>
      </w:r>
      <w:r>
        <w:rPr>
          <w:rStyle w:val="NormalCharacter"/>
          <w:rFonts w:ascii="Times New Roman" w:hAnsi="Times New Roman" w:cs="Times New Roman"/>
          <w:b/>
          <w:sz w:val="24"/>
          <w:szCs w:val="24"/>
        </w:rPr>
        <w:t>接发球示意图</w:t>
      </w:r>
      <w:r>
        <w:rPr>
          <w:rStyle w:val="NormalCharacter"/>
          <w:rFonts w:ascii="Times New Roman" w:hAnsi="Times New Roman" w:cs="Times New Roman"/>
          <w:b/>
          <w:sz w:val="24"/>
          <w:szCs w:val="24"/>
        </w:rPr>
        <w:t xml:space="preserve">                  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6  </w:t>
      </w:r>
      <w:r>
        <w:rPr>
          <w:rStyle w:val="NormalCharacter"/>
          <w:rFonts w:ascii="Times New Roman" w:hAnsi="Times New Roman" w:cs="Times New Roman"/>
          <w:b/>
          <w:sz w:val="24"/>
          <w:szCs w:val="24"/>
        </w:rPr>
        <w:t>垫球落点区域示意图</w:t>
      </w:r>
      <w:r>
        <w:rPr>
          <w:rStyle w:val="NormalCharacter"/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7A76AE" w:rsidRDefault="00E01060">
      <w:pPr>
        <w:pStyle w:val="a7"/>
        <w:widowControl w:val="0"/>
        <w:numPr>
          <w:ilvl w:val="0"/>
          <w:numId w:val="2"/>
        </w:numPr>
        <w:spacing w:line="500" w:lineRule="exact"/>
        <w:ind w:left="0" w:firstLine="560"/>
        <w:jc w:val="both"/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Style w:val="NormalCharacter"/>
          <w:rFonts w:ascii="Times New Roman" w:hAnsi="Times New Roman" w:cs="Times New Roman"/>
          <w:sz w:val="28"/>
          <w:szCs w:val="28"/>
        </w:rPr>
        <w:t>垫球进入高于球网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米以上，进入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A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区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，得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1.5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分；</w:t>
      </w:r>
    </w:p>
    <w:p w:rsidR="007A76AE" w:rsidRDefault="00E01060">
      <w:pPr>
        <w:pStyle w:val="a7"/>
        <w:widowControl w:val="0"/>
        <w:numPr>
          <w:ilvl w:val="0"/>
          <w:numId w:val="3"/>
        </w:numPr>
        <w:spacing w:line="500" w:lineRule="exact"/>
        <w:ind w:left="0" w:firstLine="560"/>
        <w:jc w:val="both"/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垫球进入高于球网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  <w:lang w:eastAsia="zh-Hans"/>
        </w:rPr>
        <w:t>米以上，进入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B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区，得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color w:val="000000" w:themeColor="text1"/>
          <w:sz w:val="28"/>
          <w:szCs w:val="28"/>
        </w:rPr>
        <w:t>分；</w:t>
      </w:r>
    </w:p>
    <w:p w:rsidR="007A76AE" w:rsidRDefault="00E01060">
      <w:pPr>
        <w:pStyle w:val="a7"/>
        <w:widowControl w:val="0"/>
        <w:numPr>
          <w:ilvl w:val="0"/>
          <w:numId w:val="3"/>
        </w:numPr>
        <w:spacing w:line="500" w:lineRule="exact"/>
        <w:ind w:left="0" w:firstLine="560"/>
        <w:jc w:val="both"/>
        <w:rPr>
          <w:rStyle w:val="NormalCharacter"/>
          <w:rFonts w:ascii="Times New Roman" w:hAnsi="Times New Roman" w:cs="Times New Roman"/>
          <w:sz w:val="28"/>
          <w:szCs w:val="28"/>
        </w:rPr>
      </w:pPr>
      <w:r>
        <w:rPr>
          <w:rStyle w:val="NormalCharacter"/>
          <w:rFonts w:ascii="Times New Roman" w:hAnsi="Times New Roman" w:cs="Times New Roman"/>
          <w:sz w:val="28"/>
          <w:szCs w:val="28"/>
        </w:rPr>
        <w:t>垫球进入其它区域，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垫球高度不够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米以上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或垫球失误均不得分。</w:t>
      </w:r>
    </w:p>
    <w:p w:rsidR="007A76AE" w:rsidRDefault="00E01060">
      <w:pPr>
        <w:widowControl w:val="0"/>
        <w:spacing w:line="500" w:lineRule="exact"/>
        <w:ind w:firstLineChars="121" w:firstLine="339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</w:rPr>
        <w:t>2.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接扣、吊球</w:t>
      </w:r>
    </w:p>
    <w:p w:rsidR="007A76AE" w:rsidRDefault="00E01060">
      <w:pPr>
        <w:widowControl w:val="0"/>
        <w:spacing w:line="500" w:lineRule="exact"/>
        <w:ind w:leftChars="50" w:left="105" w:firstLineChars="50" w:firstLine="14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lastRenderedPageBreak/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）考试方法：考评员在网前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号位原地扣、吊球。考生在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6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号位准备，当考评员扣、吊球抛球离手后，考生移动至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号位区域防守，防完后再回到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6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号位开始下一次防守。连续防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次，再从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6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号位向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号位区域移动防守，连续防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次，如图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7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所示。</w:t>
      </w:r>
    </w:p>
    <w:p w:rsidR="007A76AE" w:rsidRDefault="00E01060">
      <w:pP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5269230" cy="2048510"/>
            <wp:effectExtent l="0" t="0" r="13970" b="889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48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A76AE" w:rsidRDefault="00E01060">
      <w:pPr>
        <w:ind w:firstLineChars="550" w:firstLine="1320"/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</w:pP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7 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接扣、吊球示意图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             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图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 xml:space="preserve">8 </w:t>
      </w:r>
      <w:r>
        <w:rPr>
          <w:rStyle w:val="NormalCharacter"/>
          <w:rFonts w:ascii="Times New Roman" w:hAnsi="Times New Roman" w:cs="Times New Roman"/>
          <w:b/>
          <w:sz w:val="24"/>
          <w:szCs w:val="24"/>
          <w:lang w:eastAsia="zh-Hans"/>
        </w:rPr>
        <w:t>接扣、吊球落点区域示意图</w:t>
      </w:r>
    </w:p>
    <w:p w:rsidR="007A76AE" w:rsidRDefault="00E01060">
      <w:pPr>
        <w:widowControl w:val="0"/>
        <w:spacing w:line="500" w:lineRule="exact"/>
        <w:ind w:firstLine="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）评分标准：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</w:rPr>
      </w:pPr>
      <w:r>
        <w:rPr>
          <w:rStyle w:val="NormalCharacter"/>
          <w:rFonts w:ascii="宋体" w:eastAsia="宋体" w:hAnsi="宋体" w:cs="宋体" w:hint="eastAsia"/>
          <w:sz w:val="28"/>
          <w:szCs w:val="28"/>
        </w:rPr>
        <w:t>①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防起球进入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米线内，偏向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号位一侧，高于球网时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得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分；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</w:rPr>
      </w:pPr>
      <w:r>
        <w:rPr>
          <w:rStyle w:val="NormalCharacter"/>
          <w:rFonts w:ascii="宋体" w:eastAsia="宋体" w:hAnsi="宋体" w:cs="宋体" w:hint="eastAsia"/>
          <w:sz w:val="28"/>
          <w:szCs w:val="28"/>
        </w:rPr>
        <w:t>②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防起球进入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米线内，偏向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4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号位一侧，高于球网时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得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分；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</w:rPr>
      </w:pPr>
      <w:r>
        <w:rPr>
          <w:rStyle w:val="NormalCharacter"/>
          <w:rFonts w:ascii="宋体" w:eastAsia="宋体" w:hAnsi="宋体" w:cs="宋体" w:hint="eastAsia"/>
          <w:sz w:val="28"/>
          <w:szCs w:val="28"/>
        </w:rPr>
        <w:t>③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球未进入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米线内，但高度合适时得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0</w:t>
      </w:r>
      <w:r>
        <w:rPr>
          <w:rStyle w:val="NormalCharacter"/>
          <w:rFonts w:ascii="Times New Roman" w:hAnsi="Times New Roman" w:cs="Times New Roman"/>
          <w:bCs/>
          <w:sz w:val="28"/>
          <w:szCs w:val="28"/>
        </w:rPr>
        <w:t>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5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分；防守失误不得分。如图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8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所示</w:t>
      </w:r>
      <w:r>
        <w:rPr>
          <w:rStyle w:val="NormalCharacter"/>
          <w:rFonts w:ascii="Times New Roman" w:hAnsi="Times New Roman" w:cs="Times New Roman"/>
          <w:sz w:val="28"/>
          <w:szCs w:val="28"/>
        </w:rPr>
        <w:t>。</w:t>
      </w:r>
    </w:p>
    <w:p w:rsidR="007A76AE" w:rsidRDefault="00E01060">
      <w:pPr>
        <w:widowControl w:val="0"/>
        <w:numPr>
          <w:ilvl w:val="0"/>
          <w:numId w:val="4"/>
        </w:numPr>
        <w:spacing w:line="4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实战能力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比赛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考试方法：视考生人数分队进行比赛（可由考评员向两边抛球进行），比赛时间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10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分钟，或根据轮转等实际考试情况由主考确定。</w:t>
      </w:r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评分标准：考评员参照实战能力评分细则（表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4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），独立对考生的技术动作规范、协调程度、运用效果，战术意识以及个人实战能力等方面进行综合评定。采用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10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分制评分，分数至多可到小数点后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位。</w:t>
      </w:r>
    </w:p>
    <w:p w:rsidR="007A76AE" w:rsidRDefault="007A76AE">
      <w:pPr>
        <w:widowControl w:val="0"/>
        <w:spacing w:line="500" w:lineRule="exact"/>
        <w:ind w:firstLine="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</w:p>
    <w:p w:rsidR="007A76AE" w:rsidRDefault="007A76AE">
      <w:pPr>
        <w:widowControl w:val="0"/>
        <w:spacing w:line="500" w:lineRule="exact"/>
        <w:ind w:firstLine="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</w:p>
    <w:tbl>
      <w:tblPr>
        <w:tblpPr w:leftFromText="180" w:rightFromText="180" w:vertAnchor="text" w:horzAnchor="margin" w:tblpY="460"/>
        <w:tblW w:w="991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2"/>
        <w:gridCol w:w="7796"/>
      </w:tblGrid>
      <w:tr w:rsidR="007A76AE">
        <w:trPr>
          <w:trHeight w:val="329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A76AE" w:rsidRDefault="00E01060">
            <w:pPr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lastRenderedPageBreak/>
              <w:t>等级（分值范围）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评价标准</w:t>
            </w:r>
          </w:p>
        </w:tc>
      </w:tr>
      <w:tr w:rsidR="007A76AE">
        <w:trPr>
          <w:trHeight w:val="329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优（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10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～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8.</w:t>
            </w:r>
            <w:r>
              <w:rPr>
                <w:rFonts w:ascii="Times New Roman" w:eastAsia="Times New Roman Regular" w:hAnsi="Times New Roman" w:cs="Times New Roman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分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技术动作规范协调，运用效果良好；战术意识及个人实战能力很强。</w:t>
            </w:r>
          </w:p>
        </w:tc>
      </w:tr>
      <w:tr w:rsidR="007A76AE">
        <w:trPr>
          <w:trHeight w:val="551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良（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8.5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～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7.6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分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技术动作较规范协调，运用效果良好；战术意识及个人实战能力较强。</w:t>
            </w:r>
          </w:p>
        </w:tc>
      </w:tr>
      <w:tr w:rsidR="007A76AE">
        <w:trPr>
          <w:trHeight w:val="551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中（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7.5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～</w:t>
            </w:r>
            <w:r>
              <w:rPr>
                <w:rFonts w:ascii="Times New Roman" w:eastAsia="Times New Roman Regular" w:hAnsi="Times New Roman" w:cs="Times New Roman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分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技术动作规范程度、协调性及运用效果一般；战术意识及个人实战能力一般。</w:t>
            </w:r>
          </w:p>
        </w:tc>
      </w:tr>
      <w:tr w:rsidR="007A76AE">
        <w:trPr>
          <w:trHeight w:val="554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方正书宋_GBK" w:hAnsi="Times New Roman" w:cs="Times New Roman"/>
                <w:color w:val="000000"/>
                <w:sz w:val="22"/>
              </w:rPr>
            </w:pPr>
            <w:r>
              <w:rPr>
                <w:rFonts w:ascii="Times New Roman" w:eastAsia="方正书宋_GBK" w:hAnsi="Times New Roman" w:cs="Times New Roman"/>
                <w:color w:val="000000"/>
                <w:kern w:val="0"/>
                <w:sz w:val="22"/>
                <w:lang w:bidi="ar"/>
              </w:rPr>
              <w:t>差（</w:t>
            </w:r>
            <w:r>
              <w:rPr>
                <w:rFonts w:ascii="Times New Roman" w:eastAsia="Times New Roman Regular" w:hAnsi="Times New Roman" w:cs="Times New Roman"/>
                <w:color w:val="000000"/>
                <w:kern w:val="0"/>
                <w:sz w:val="22"/>
                <w:lang w:bidi="ar"/>
              </w:rPr>
              <w:t>6</w:t>
            </w: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分以下）</w:t>
            </w:r>
          </w:p>
        </w:tc>
        <w:tc>
          <w:tcPr>
            <w:tcW w:w="7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76AE" w:rsidRDefault="00E01060">
            <w:pPr>
              <w:jc w:val="center"/>
              <w:textAlignment w:val="center"/>
              <w:rPr>
                <w:rFonts w:ascii="Times New Roman" w:eastAsia="Times New Roman Regular" w:hAnsi="Times New Roman" w:cs="Times New Roman"/>
                <w:color w:val="000000"/>
                <w:sz w:val="22"/>
              </w:rPr>
            </w:pPr>
            <w:r>
              <w:rPr>
                <w:rFonts w:ascii="Times New Roman" w:eastAsia="宋体" w:hAnsi="Times New Roman" w:cs="Times New Roman"/>
                <w:color w:val="000000"/>
                <w:kern w:val="0"/>
                <w:sz w:val="22"/>
                <w:lang w:bidi="ar"/>
              </w:rPr>
              <w:t>技术动作规范程度、协调性及运用效果较差；战术意识及个人实战能力较差。</w:t>
            </w:r>
          </w:p>
        </w:tc>
      </w:tr>
    </w:tbl>
    <w:p w:rsidR="007A76AE" w:rsidRDefault="00E01060">
      <w:pPr>
        <w:spacing w:after="240"/>
        <w:ind w:firstLineChars="1200" w:firstLine="2880"/>
        <w:rPr>
          <w:rStyle w:val="NormalCharacter"/>
          <w:rFonts w:ascii="Times New Roman" w:hAnsi="Times New Roman" w:cs="Times New Roman"/>
          <w:b/>
          <w:bCs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>表</w:t>
      </w:r>
      <w:r w:rsidR="00545AD1"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 xml:space="preserve">4 </w:t>
      </w:r>
      <w:r>
        <w:rPr>
          <w:rStyle w:val="NormalCharacter"/>
          <w:rFonts w:ascii="Times New Roman" w:hAnsi="Times New Roman" w:cs="Times New Roman"/>
          <w:b/>
          <w:bCs/>
          <w:sz w:val="24"/>
          <w:szCs w:val="24"/>
          <w:lang w:eastAsia="zh-Hans"/>
        </w:rPr>
        <w:t>自由防守人实战能力评分细则</w:t>
      </w:r>
    </w:p>
    <w:p w:rsidR="007A76AE" w:rsidRDefault="00E01060">
      <w:pPr>
        <w:pStyle w:val="3"/>
        <w:rPr>
          <w:rStyle w:val="NormalCharacter"/>
          <w:rFonts w:cs="Times New Roman"/>
        </w:rPr>
      </w:pPr>
      <w:bookmarkStart w:id="10" w:name="_Toc123493571"/>
      <w:r>
        <w:rPr>
          <w:rStyle w:val="NormalCharacter"/>
          <w:rFonts w:cs="Times New Roman"/>
        </w:rPr>
        <w:t>三、其他</w:t>
      </w:r>
      <w:bookmarkEnd w:id="10"/>
    </w:p>
    <w:p w:rsidR="007A76AE" w:rsidRDefault="00E01060">
      <w:pPr>
        <w:widowControl w:val="0"/>
        <w:spacing w:line="500" w:lineRule="exact"/>
        <w:ind w:firstLineChars="200" w:firstLine="560"/>
        <w:jc w:val="both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考生需着无标识的服装参加考试，如因伤必须佩戴护具的按如下要求穿戴：</w:t>
      </w:r>
    </w:p>
    <w:p w:rsidR="007A76AE" w:rsidRDefault="00E01060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1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）护膝、护腕、护肩、护肘等护具必须为纯黑色或白色。</w:t>
      </w:r>
    </w:p>
    <w:p w:rsidR="007A76AE" w:rsidRDefault="00E01060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）肌肉贴等需为米色。</w:t>
      </w:r>
    </w:p>
    <w:p w:rsidR="007A76AE" w:rsidRDefault="00E01060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3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）长筒袜必须为纯白色。</w:t>
      </w:r>
    </w:p>
    <w:p w:rsidR="007A76AE" w:rsidRDefault="00E01060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（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4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）不得佩戴发带。</w:t>
      </w:r>
    </w:p>
    <w:p w:rsidR="007A76AE" w:rsidRDefault="00E01060">
      <w:pPr>
        <w:widowControl w:val="0"/>
        <w:spacing w:line="500" w:lineRule="exact"/>
        <w:ind w:firstLineChars="150" w:firstLine="42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2.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考试场地及器材要求</w:t>
      </w:r>
    </w:p>
    <w:p w:rsidR="007A76AE" w:rsidRDefault="00E01060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考试场地和考试用球严格按照中国排球协会最新审定的《排球竟赛规则》中的相关要求执行。</w:t>
      </w:r>
    </w:p>
    <w:p w:rsidR="007A76AE" w:rsidRDefault="007A76AE">
      <w:pPr>
        <w:widowControl w:val="0"/>
        <w:spacing w:line="500" w:lineRule="exact"/>
        <w:ind w:firstLineChars="200" w:firstLine="560"/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</w:pPr>
    </w:p>
    <w:p w:rsidR="007A76AE" w:rsidRDefault="00E01060">
      <w:pPr>
        <w:widowControl w:val="0"/>
        <w:spacing w:line="500" w:lineRule="exact"/>
        <w:jc w:val="both"/>
        <w:rPr>
          <w:rFonts w:ascii="Times New Roman" w:eastAsiaTheme="majorEastAsia" w:hAnsi="Times New Roman" w:cs="Times New Roman"/>
          <w:b/>
          <w:sz w:val="28"/>
          <w:szCs w:val="28"/>
        </w:rPr>
      </w:pPr>
      <w:r>
        <w:rPr>
          <w:rStyle w:val="NormalCharacter"/>
          <w:rFonts w:ascii="Times New Roman" w:hAnsi="Times New Roman" w:cs="Times New Roman"/>
          <w:b/>
          <w:sz w:val="28"/>
          <w:szCs w:val="28"/>
          <w:lang w:eastAsia="zh-Hans"/>
        </w:rPr>
        <w:t>注：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高水平运动队招生同分排序规则：排球（非自由人）在体育专项测试成绩对应分值相同时，根据考核指标分值从高到低的原则，依次按比赛、扣球、发球、助跑摸高成绩由高到低排序择优录取；排球（自由人）在体育专项测试成绩对应分值相同时，根据考核指标分值从高到低的原则，依次按比赛、接扣吊球、接发球、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“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半米字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”</w:t>
      </w:r>
      <w:r>
        <w:rPr>
          <w:rStyle w:val="NormalCharacter"/>
          <w:rFonts w:ascii="Times New Roman" w:hAnsi="Times New Roman" w:cs="Times New Roman"/>
          <w:sz w:val="28"/>
          <w:szCs w:val="28"/>
          <w:lang w:eastAsia="zh-Hans"/>
        </w:rPr>
        <w:t>移动成绩由高到低排序择优录取。</w:t>
      </w:r>
    </w:p>
    <w:p w:rsidR="007A76AE" w:rsidRDefault="007A76AE"/>
    <w:sectPr w:rsidR="007A76AE">
      <w:headerReference w:type="default" r:id="rId18"/>
      <w:footerReference w:type="default" r:id="rId19"/>
      <w:headerReference w:type="first" r:id="rId20"/>
      <w:pgSz w:w="11906" w:h="16838"/>
      <w:pgMar w:top="1701" w:right="1418" w:bottom="1418" w:left="1418" w:header="1304" w:footer="1021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1060" w:rsidRDefault="00E01060">
      <w:r>
        <w:separator/>
      </w:r>
    </w:p>
  </w:endnote>
  <w:endnote w:type="continuationSeparator" w:id="0">
    <w:p w:rsidR="00E01060" w:rsidRDefault="00E010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Regular">
    <w:altName w:val="Times New Roman"/>
    <w:charset w:val="00"/>
    <w:family w:val="auto"/>
    <w:pitch w:val="default"/>
    <w:sig w:usb0="00000000" w:usb1="00000000" w:usb2="00000009" w:usb3="00000000" w:csb0="400001FF" w:csb1="FFFF0000"/>
  </w:font>
  <w:font w:name="方正书宋_GBK">
    <w:altName w:val="微软雅黑"/>
    <w:charset w:val="86"/>
    <w:family w:val="auto"/>
    <w:pitch w:val="default"/>
    <w:sig w:usb0="00000000" w:usb1="00000000" w:usb2="00082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"/>
    </w:sdtPr>
    <w:sdtEndPr>
      <w:rPr>
        <w:rFonts w:ascii="Times New Roman" w:hAnsi="Times New Roman" w:cs="Times New Roman"/>
      </w:rPr>
    </w:sdtEndPr>
    <w:sdtContent>
      <w:p w:rsidR="007A76AE" w:rsidRDefault="00E01060">
        <w:pPr>
          <w:pStyle w:val="a3"/>
          <w:jc w:val="center"/>
          <w:rPr>
            <w:rFonts w:ascii="Times New Roman" w:hAnsi="Times New Roman" w:cs="Times New Roman"/>
          </w:rPr>
        </w:pPr>
        <w:r>
          <w:rPr>
            <w:rFonts w:ascii="Times New Roman" w:hAnsi="Times New Roman" w:cs="Times New Roman"/>
          </w:rPr>
          <w:fldChar w:fldCharType="begin"/>
        </w:r>
        <w:r>
          <w:rPr>
            <w:rFonts w:ascii="Times New Roman" w:hAnsi="Times New Roman" w:cs="Times New Roman"/>
          </w:rPr>
          <w:instrText>PAGE   \* MERGEFORMAT</w:instrText>
        </w:r>
        <w:r>
          <w:rPr>
            <w:rFonts w:ascii="Times New Roman" w:hAnsi="Times New Roman" w:cs="Times New Roman"/>
          </w:rPr>
          <w:fldChar w:fldCharType="separate"/>
        </w:r>
        <w:r w:rsidR="00545AD1" w:rsidRPr="00545AD1">
          <w:rPr>
            <w:rFonts w:ascii="Times New Roman" w:hAnsi="Times New Roman" w:cs="Times New Roman"/>
            <w:noProof/>
            <w:lang w:val="zh-CN"/>
          </w:rPr>
          <w:t>1</w:t>
        </w:r>
        <w:r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1060" w:rsidRDefault="00E01060">
      <w:r>
        <w:separator/>
      </w:r>
    </w:p>
  </w:footnote>
  <w:footnote w:type="continuationSeparator" w:id="0">
    <w:p w:rsidR="00E01060" w:rsidRDefault="00E010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76AE" w:rsidRDefault="007A76AE">
    <w:pPr>
      <w:pStyle w:val="a5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A76AE" w:rsidRDefault="00E01060">
    <w:pPr>
      <w:pStyle w:val="a5"/>
    </w:pPr>
    <w:r>
      <w:rPr>
        <w:rFonts w:hint="eastAsia"/>
        <w:sz w:val="24"/>
        <w:szCs w:val="30"/>
      </w:rPr>
      <w:t>沈阳农业大学</w:t>
    </w:r>
    <w:r>
      <w:rPr>
        <w:rFonts w:hint="eastAsia"/>
        <w:sz w:val="24"/>
        <w:szCs w:val="30"/>
      </w:rPr>
      <w:t>2021</w:t>
    </w:r>
    <w:r>
      <w:rPr>
        <w:rFonts w:hint="eastAsia"/>
        <w:sz w:val="24"/>
        <w:szCs w:val="30"/>
      </w:rPr>
      <w:t>年排球高水平运动员专项测试方法及评分标准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922DCD"/>
    <w:multiLevelType w:val="multilevel"/>
    <w:tmpl w:val="0E922DCD"/>
    <w:lvl w:ilvl="0">
      <w:start w:val="2"/>
      <w:numFmt w:val="decimalEnclosedCircle"/>
      <w:lvlText w:val="%1"/>
      <w:lvlJc w:val="left"/>
      <w:pPr>
        <w:ind w:left="640" w:hanging="360"/>
      </w:pPr>
      <w:rPr>
        <w:rFonts w:cs="宋体" w:hint="default"/>
      </w:rPr>
    </w:lvl>
    <w:lvl w:ilvl="1">
      <w:start w:val="1"/>
      <w:numFmt w:val="lowerLetter"/>
      <w:lvlText w:val="%2)"/>
      <w:lvlJc w:val="left"/>
      <w:pPr>
        <w:ind w:left="1120" w:hanging="420"/>
      </w:pPr>
    </w:lvl>
    <w:lvl w:ilvl="2">
      <w:start w:val="1"/>
      <w:numFmt w:val="lowerRoman"/>
      <w:lvlText w:val="%3."/>
      <w:lvlJc w:val="right"/>
      <w:pPr>
        <w:ind w:left="1540" w:hanging="420"/>
      </w:pPr>
    </w:lvl>
    <w:lvl w:ilvl="3">
      <w:start w:val="1"/>
      <w:numFmt w:val="decimal"/>
      <w:lvlText w:val="%4."/>
      <w:lvlJc w:val="left"/>
      <w:pPr>
        <w:ind w:left="1960" w:hanging="420"/>
      </w:pPr>
    </w:lvl>
    <w:lvl w:ilvl="4">
      <w:start w:val="1"/>
      <w:numFmt w:val="lowerLetter"/>
      <w:lvlText w:val="%5)"/>
      <w:lvlJc w:val="left"/>
      <w:pPr>
        <w:ind w:left="2380" w:hanging="420"/>
      </w:pPr>
    </w:lvl>
    <w:lvl w:ilvl="5">
      <w:start w:val="1"/>
      <w:numFmt w:val="lowerRoman"/>
      <w:lvlText w:val="%6."/>
      <w:lvlJc w:val="right"/>
      <w:pPr>
        <w:ind w:left="2800" w:hanging="420"/>
      </w:pPr>
    </w:lvl>
    <w:lvl w:ilvl="6">
      <w:start w:val="1"/>
      <w:numFmt w:val="decimal"/>
      <w:lvlText w:val="%7."/>
      <w:lvlJc w:val="left"/>
      <w:pPr>
        <w:ind w:left="3220" w:hanging="420"/>
      </w:pPr>
    </w:lvl>
    <w:lvl w:ilvl="7">
      <w:start w:val="1"/>
      <w:numFmt w:val="lowerLetter"/>
      <w:lvlText w:val="%8)"/>
      <w:lvlJc w:val="left"/>
      <w:pPr>
        <w:ind w:left="3640" w:hanging="420"/>
      </w:pPr>
    </w:lvl>
    <w:lvl w:ilvl="8">
      <w:start w:val="1"/>
      <w:numFmt w:val="lowerRoman"/>
      <w:lvlText w:val="%9."/>
      <w:lvlJc w:val="right"/>
      <w:pPr>
        <w:ind w:left="4060" w:hanging="420"/>
      </w:pPr>
    </w:lvl>
  </w:abstractNum>
  <w:abstractNum w:abstractNumId="1" w15:restartNumberingAfterBreak="0">
    <w:nsid w:val="2AA825FC"/>
    <w:multiLevelType w:val="multilevel"/>
    <w:tmpl w:val="2AA825FC"/>
    <w:lvl w:ilvl="0">
      <w:start w:val="1"/>
      <w:numFmt w:val="decimalEnclosedCircle"/>
      <w:lvlText w:val="%1"/>
      <w:lvlJc w:val="left"/>
      <w:pPr>
        <w:ind w:left="1200" w:hanging="360"/>
      </w:pPr>
      <w:rPr>
        <w:rFonts w:cs="宋体"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2" w15:restartNumberingAfterBreak="0">
    <w:nsid w:val="619B5AFE"/>
    <w:multiLevelType w:val="singleLevel"/>
    <w:tmpl w:val="619B5AFE"/>
    <w:lvl w:ilvl="0">
      <w:start w:val="1"/>
      <w:numFmt w:val="chineseCounting"/>
      <w:suff w:val="nothing"/>
      <w:lvlText w:val="（%1）"/>
      <w:lvlJc w:val="left"/>
    </w:lvl>
  </w:abstractNum>
  <w:abstractNum w:abstractNumId="3" w15:restartNumberingAfterBreak="0">
    <w:nsid w:val="619B6CBD"/>
    <w:multiLevelType w:val="singleLevel"/>
    <w:tmpl w:val="619B6CBD"/>
    <w:lvl w:ilvl="0">
      <w:start w:val="3"/>
      <w:numFmt w:val="chineseCounting"/>
      <w:suff w:val="nothing"/>
      <w:lvlText w:val="(%1）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fullPage" w:percent="71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IzMzUxY2RjMWEzMDY1NTU1ZDM0NTk4MTg3NWY1OTgifQ=="/>
  </w:docVars>
  <w:rsids>
    <w:rsidRoot w:val="00A67B42"/>
    <w:rsid w:val="003B1CAF"/>
    <w:rsid w:val="00545AD1"/>
    <w:rsid w:val="00753D04"/>
    <w:rsid w:val="007A76AE"/>
    <w:rsid w:val="00893C20"/>
    <w:rsid w:val="00897068"/>
    <w:rsid w:val="008D5066"/>
    <w:rsid w:val="00A67B42"/>
    <w:rsid w:val="00A9629F"/>
    <w:rsid w:val="00BE62E8"/>
    <w:rsid w:val="00E01060"/>
    <w:rsid w:val="00F32127"/>
    <w:rsid w:val="730156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22DA90"/>
  <w15:docId w15:val="{A09D85B4-7C1A-4D66-8625-D0EF17795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ind w:firstLine="200"/>
    </w:pPr>
    <w:rPr>
      <w:rFonts w:ascii="Old English Text MT" w:hAnsi="Old English Text MT"/>
      <w:kern w:val="2"/>
      <w:sz w:val="21"/>
      <w:szCs w:val="21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after="330"/>
      <w:ind w:firstLine="0"/>
      <w:jc w:val="center"/>
      <w:outlineLvl w:val="0"/>
    </w:pPr>
    <w:rPr>
      <w:rFonts w:ascii="Times New Roman" w:eastAsia="黑体" w:hAnsi="Times New Roman"/>
      <w:bCs/>
      <w:kern w:val="44"/>
      <w:sz w:val="36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100" w:after="100"/>
      <w:ind w:firstLine="0"/>
      <w:outlineLvl w:val="1"/>
    </w:pPr>
    <w:rPr>
      <w:rFonts w:ascii="Times New Roman" w:eastAsia="黑体" w:hAnsi="Times New Roman" w:cstheme="majorBidi"/>
      <w:bCs/>
      <w:sz w:val="30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widowControl w:val="0"/>
      <w:spacing w:before="100" w:after="100"/>
      <w:ind w:firstLine="0"/>
      <w:outlineLvl w:val="2"/>
    </w:pPr>
    <w:rPr>
      <w:rFonts w:ascii="Times New Roman" w:eastAsia="黑体" w:hAnsi="Times New Roman"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rFonts w:ascii="Times New Roman" w:eastAsia="黑体" w:hAnsi="Times New Roman"/>
      <w:bCs/>
      <w:kern w:val="44"/>
      <w:sz w:val="36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="Times New Roman" w:eastAsia="黑体" w:hAnsi="Times New Roman" w:cstheme="majorBidi"/>
      <w:bCs/>
      <w:sz w:val="30"/>
      <w:szCs w:val="32"/>
    </w:rPr>
  </w:style>
  <w:style w:type="character" w:customStyle="1" w:styleId="30">
    <w:name w:val="标题 3 字符"/>
    <w:basedOn w:val="a0"/>
    <w:link w:val="3"/>
    <w:uiPriority w:val="9"/>
    <w:qFormat/>
    <w:rPr>
      <w:rFonts w:ascii="Times New Roman" w:eastAsia="黑体" w:hAnsi="Times New Roman"/>
      <w:bCs/>
      <w:sz w:val="28"/>
      <w:szCs w:val="32"/>
    </w:rPr>
  </w:style>
  <w:style w:type="character" w:customStyle="1" w:styleId="a4">
    <w:name w:val="页脚 字符"/>
    <w:basedOn w:val="a0"/>
    <w:link w:val="a3"/>
    <w:uiPriority w:val="99"/>
    <w:qFormat/>
    <w:rPr>
      <w:rFonts w:ascii="Old English Text MT" w:hAnsi="Old English Text MT"/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rFonts w:ascii="Old English Text MT" w:hAnsi="Old English Text MT"/>
      <w:sz w:val="18"/>
      <w:szCs w:val="18"/>
    </w:rPr>
  </w:style>
  <w:style w:type="character" w:customStyle="1" w:styleId="NormalCharacter">
    <w:name w:val="NormalCharacter"/>
    <w:qFormat/>
  </w:style>
  <w:style w:type="paragraph" w:customStyle="1" w:styleId="179">
    <w:name w:val="179"/>
    <w:basedOn w:val="a"/>
    <w:qFormat/>
    <w:pPr>
      <w:spacing w:after="160" w:line="480" w:lineRule="auto"/>
      <w:ind w:firstLineChars="200" w:firstLine="420"/>
      <w:jc w:val="both"/>
      <w:textAlignment w:val="baseline"/>
    </w:pPr>
    <w:rPr>
      <w:rFonts w:ascii="Calibri" w:eastAsia="宋体" w:hAnsi="Calibri"/>
      <w:szCs w:val="22"/>
    </w:rPr>
  </w:style>
  <w:style w:type="paragraph" w:styleId="a7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502</Words>
  <Characters>2863</Characters>
  <Application>Microsoft Office Word</Application>
  <DocSecurity>0</DocSecurity>
  <Lines>23</Lines>
  <Paragraphs>6</Paragraphs>
  <ScaleCrop>false</ScaleCrop>
  <Company/>
  <LinksUpToDate>false</LinksUpToDate>
  <CharactersWithSpaces>3359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M18480</dc:creator>
  <cp:lastModifiedBy>dell</cp:lastModifiedBy>
  <cp:revision>5</cp:revision>
  <dcterms:created xsi:type="dcterms:W3CDTF">2023-01-03T10:38:00Z</dcterms:created>
  <dcterms:modified xsi:type="dcterms:W3CDTF">2023-01-05T01:06:00Z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A81D0CED675A4140BEA597D710D999AB</vt:lpwstr>
  </property>
</Properties>
</file>