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80" w:lineRule="exact"/>
        <w:jc w:val="left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附件1：</w:t>
      </w:r>
    </w:p>
    <w:p>
      <w:pPr>
        <w:spacing w:before="156" w:beforeLines="50" w:after="156" w:afterLines="50" w:line="380" w:lineRule="exact"/>
        <w:jc w:val="center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南京邮电大学20</w:t>
      </w:r>
      <w:r>
        <w:rPr>
          <w:rFonts w:ascii="华文仿宋" w:hAnsi="华文仿宋" w:eastAsia="华文仿宋" w:cs="Times New Roman"/>
          <w:b/>
          <w:sz w:val="30"/>
          <w:szCs w:val="30"/>
        </w:rPr>
        <w:t>23</w:t>
      </w:r>
      <w:r>
        <w:rPr>
          <w:rFonts w:hint="eastAsia" w:ascii="华文仿宋" w:hAnsi="华文仿宋" w:eastAsia="华文仿宋" w:cs="Times New Roman"/>
          <w:b/>
          <w:sz w:val="30"/>
          <w:szCs w:val="30"/>
        </w:rPr>
        <w:t>年高水平运动队篮球专项测试内容</w:t>
      </w:r>
    </w:p>
    <w:p>
      <w:pPr>
        <w:spacing w:before="156" w:beforeLines="50" w:after="156" w:afterLines="50" w:line="380" w:lineRule="exact"/>
        <w:jc w:val="center"/>
        <w:rPr>
          <w:rFonts w:ascii="华文仿宋" w:hAnsi="华文仿宋" w:eastAsia="华文仿宋" w:cs="Times New Roman"/>
          <w:b/>
          <w:sz w:val="30"/>
          <w:szCs w:val="30"/>
        </w:rPr>
      </w:pPr>
    </w:p>
    <w:p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</w:t>
      </w:r>
      <w:r>
        <w:rPr>
          <w:rFonts w:ascii="华文仿宋" w:hAnsi="华文仿宋" w:eastAsia="华文仿宋" w:cs="Times New Roman"/>
          <w:sz w:val="30"/>
          <w:szCs w:val="30"/>
        </w:rPr>
        <w:t>一）</w:t>
      </w:r>
      <w:r>
        <w:rPr>
          <w:rFonts w:hint="eastAsia" w:ascii="华文仿宋" w:hAnsi="华文仿宋" w:eastAsia="华文仿宋" w:cs="Times New Roman"/>
          <w:sz w:val="30"/>
          <w:szCs w:val="30"/>
        </w:rPr>
        <w:t>身体素质：助跑摸高</w:t>
      </w:r>
    </w:p>
    <w:p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</w:t>
      </w:r>
      <w:r>
        <w:rPr>
          <w:rFonts w:ascii="华文仿宋" w:hAnsi="华文仿宋" w:eastAsia="华文仿宋" w:cs="Times New Roman"/>
          <w:sz w:val="30"/>
          <w:szCs w:val="30"/>
        </w:rPr>
        <w:t>二）</w:t>
      </w:r>
      <w:r>
        <w:rPr>
          <w:rFonts w:hint="eastAsia" w:ascii="华文仿宋" w:hAnsi="华文仿宋" w:eastAsia="华文仿宋" w:cs="Times New Roman"/>
          <w:sz w:val="30"/>
          <w:szCs w:val="30"/>
        </w:rPr>
        <w:t>基本技术：1分30秒钟投篮</w:t>
      </w:r>
    </w:p>
    <w:p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1.按球场位置分内、外线（内线：中锋、二中锋；外线：后卫、前锋），分别进行中、远距离投篮测试。</w:t>
      </w:r>
    </w:p>
    <w:p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2.外线运动员按篮圈正下方为圆点，半径为6.75米的三分线外进行投篮；内线运动员按以篮圈正下方为圆点，半径为4.25米的半圆弧线外进行投篮。</w:t>
      </w:r>
    </w:p>
    <w:p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</w:t>
      </w:r>
      <w:r>
        <w:rPr>
          <w:rFonts w:ascii="华文仿宋" w:hAnsi="华文仿宋" w:eastAsia="华文仿宋" w:cs="Times New Roman"/>
          <w:sz w:val="30"/>
          <w:szCs w:val="30"/>
        </w:rPr>
        <w:t>三）</w:t>
      </w:r>
      <w:r>
        <w:rPr>
          <w:rFonts w:hint="eastAsia" w:ascii="华文仿宋" w:hAnsi="华文仿宋" w:eastAsia="华文仿宋" w:cs="Times New Roman"/>
          <w:sz w:val="30"/>
          <w:szCs w:val="30"/>
        </w:rPr>
        <w:t>综合技术评定：半场综合技术练习（个人完成）</w:t>
      </w:r>
    </w:p>
    <w:p>
      <w:pPr>
        <w:ind w:firstLine="600" w:firstLineChars="20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（</w:t>
      </w:r>
      <w:r>
        <w:rPr>
          <w:rFonts w:ascii="华文仿宋" w:hAnsi="华文仿宋" w:eastAsia="华文仿宋" w:cs="Times New Roman"/>
          <w:sz w:val="30"/>
          <w:szCs w:val="30"/>
        </w:rPr>
        <w:t>四）</w:t>
      </w:r>
      <w:r>
        <w:rPr>
          <w:rFonts w:hint="eastAsia" w:ascii="华文仿宋" w:hAnsi="华文仿宋" w:eastAsia="华文仿宋" w:cs="Times New Roman"/>
          <w:sz w:val="30"/>
          <w:szCs w:val="30"/>
        </w:rPr>
        <w:t>比赛内容：个人攻防技术运用、技战术运用、身体对抗能力、实战能力。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55522C22"/>
    <w:rsid w:val="39777AEF"/>
    <w:rsid w:val="555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2023-01-04T13:17:00Z</dcterms:created>
  <dc:creator>木林森</dc:creator>
  <cp:lastModifiedBy>木林森</cp:lastModifiedBy>
  <dcterms:modified xsi:type="dcterms:W3CDTF">2023-01-04T13:20:54Z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1888D7DE9AB54D62A4E9630C1C25C6D8</vt:lpwstr>
  </property>
</Properties>
</file>